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70D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5DE3D7D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8DD469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BEA4B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65D5BE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69AD686" w14:textId="77777777" w:rsidR="006A1D05" w:rsidRPr="006A1D05" w:rsidRDefault="006A1D05" w:rsidP="006A1D05">
      <w:pPr>
        <w:suppressAutoHyphens/>
        <w:spacing w:after="0" w:line="240" w:lineRule="auto"/>
        <w:ind w:left="720"/>
        <w:jc w:val="both"/>
        <w:rPr>
          <w:rFonts w:ascii="Times New Roman" w:hAnsi="Times New Roman"/>
          <w:sz w:val="24"/>
          <w:szCs w:val="24"/>
          <w:lang w:eastAsia="ar-SA"/>
        </w:rPr>
      </w:pPr>
    </w:p>
    <w:p w14:paraId="0D24C254" w14:textId="77777777" w:rsidR="006A1D05" w:rsidRDefault="006A1D05" w:rsidP="006A1D05">
      <w:pPr>
        <w:numPr>
          <w:ilvl w:val="0"/>
          <w:numId w:val="1"/>
        </w:numPr>
        <w:suppressAutoHyphens/>
        <w:spacing w:after="0" w:line="240" w:lineRule="auto"/>
        <w:contextualSpacing/>
        <w:jc w:val="both"/>
        <w:rPr>
          <w:rFonts w:ascii="Times New Roman" w:hAnsi="Times New Roman"/>
          <w:sz w:val="24"/>
          <w:szCs w:val="24"/>
          <w:lang w:eastAsia="ar-SA"/>
        </w:rPr>
      </w:pPr>
      <w:r w:rsidRPr="006A1D05">
        <w:rPr>
          <w:rFonts w:ascii="Times New Roman" w:hAnsi="Times New Roman"/>
          <w:sz w:val="24"/>
          <w:szCs w:val="24"/>
          <w:lang w:eastAsia="ar-SA"/>
        </w:rPr>
        <w:t>Las notas de gestión administrativa deben contener los siguientes puntos:</w:t>
      </w:r>
    </w:p>
    <w:p w14:paraId="2F46F131" w14:textId="77777777" w:rsidR="00136AAE" w:rsidRDefault="00136AAE" w:rsidP="00136AAE">
      <w:pPr>
        <w:suppressAutoHyphens/>
        <w:spacing w:after="0" w:line="240" w:lineRule="auto"/>
        <w:contextualSpacing/>
        <w:jc w:val="both"/>
        <w:rPr>
          <w:rFonts w:ascii="Times New Roman" w:hAnsi="Times New Roman"/>
          <w:sz w:val="24"/>
          <w:szCs w:val="24"/>
          <w:lang w:eastAsia="ar-SA"/>
        </w:rPr>
      </w:pPr>
    </w:p>
    <w:p w14:paraId="75E1FB46" w14:textId="1E9103A9" w:rsidR="00136AAE" w:rsidRPr="00136AAE" w:rsidRDefault="00136AAE" w:rsidP="00B36BF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Introducción</w:t>
      </w:r>
    </w:p>
    <w:p w14:paraId="677548A7" w14:textId="408A7FE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Describir el panorama Económico y Financiero</w:t>
      </w:r>
    </w:p>
    <w:p w14:paraId="692B6339" w14:textId="745E57A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Autorización e Historia</w:t>
      </w:r>
    </w:p>
    <w:p w14:paraId="1CE766C5" w14:textId="5DB05B3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Organización y Objeto Social</w:t>
      </w:r>
    </w:p>
    <w:p w14:paraId="0B768A9D" w14:textId="1ECD0EB7"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Bases de preparación de los Estados Financieros</w:t>
      </w:r>
    </w:p>
    <w:p w14:paraId="5BA9DE96" w14:textId="64E4BE69"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Políticas de Contabilidad Significativas</w:t>
      </w:r>
    </w:p>
    <w:p w14:paraId="72D15CDF" w14:textId="389F64D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Posición en moneda extranjera y Protección Por Riesgo Cambiario</w:t>
      </w:r>
    </w:p>
    <w:p w14:paraId="10633840" w14:textId="74C7497D"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Analítico del Activo</w:t>
      </w:r>
    </w:p>
    <w:p w14:paraId="563FB65A" w14:textId="2EF7E47F" w:rsidR="006A1D05"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Fideicomisos, </w:t>
      </w:r>
      <w:r w:rsidR="008A1534" w:rsidRPr="00136AAE">
        <w:rPr>
          <w:rFonts w:ascii="Times New Roman" w:hAnsi="Times New Roman"/>
          <w:sz w:val="24"/>
          <w:szCs w:val="24"/>
          <w:lang w:eastAsia="ar-SA"/>
        </w:rPr>
        <w:t>Mandatos y</w:t>
      </w:r>
      <w:r w:rsidRPr="00136AAE">
        <w:rPr>
          <w:rFonts w:ascii="Times New Roman" w:hAnsi="Times New Roman"/>
          <w:sz w:val="24"/>
          <w:szCs w:val="24"/>
          <w:lang w:eastAsia="ar-SA"/>
        </w:rPr>
        <w:t xml:space="preserve"> Análogos</w:t>
      </w:r>
    </w:p>
    <w:p w14:paraId="754EE4AF" w14:textId="086CFA90" w:rsidR="00136AAE"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de la Recaudación</w:t>
      </w:r>
    </w:p>
    <w:p w14:paraId="6543907B" w14:textId="05A5E922" w:rsidR="006A1D05"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Información sobre la deuda y Reporte Analítico de la Deuda</w:t>
      </w:r>
    </w:p>
    <w:p w14:paraId="48ED6E48" w14:textId="7069BDD2"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Calificaciones Otorgadas</w:t>
      </w:r>
    </w:p>
    <w:p w14:paraId="59BADAD3" w14:textId="68A32798"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Proceso de Mejora</w:t>
      </w:r>
    </w:p>
    <w:p w14:paraId="5632D460" w14:textId="070AB667"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Información de Segmentos</w:t>
      </w:r>
    </w:p>
    <w:p w14:paraId="410451E7" w14:textId="325F76D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Eventos Posteriores al cierre</w:t>
      </w:r>
    </w:p>
    <w:p w14:paraId="5DC6E581" w14:textId="52A8656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Partes Relacionadas</w:t>
      </w:r>
    </w:p>
    <w:p w14:paraId="135F861B" w14:textId="4D75908D"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Responsabilidad Sobre la Presentación Razonable de la Información Financiera</w:t>
      </w:r>
    </w:p>
    <w:p w14:paraId="57AC8B15" w14:textId="77777777" w:rsidR="00136AAE" w:rsidRPr="00136AAE" w:rsidRDefault="00136AAE" w:rsidP="00136AAE">
      <w:pPr>
        <w:pStyle w:val="Prrafodelista"/>
        <w:suppressAutoHyphens/>
        <w:spacing w:after="0" w:line="240" w:lineRule="auto"/>
        <w:jc w:val="both"/>
        <w:rPr>
          <w:rFonts w:ascii="Times New Roman" w:hAnsi="Times New Roman"/>
          <w:sz w:val="24"/>
          <w:szCs w:val="24"/>
          <w:lang w:eastAsia="ar-SA"/>
        </w:rPr>
      </w:pPr>
    </w:p>
    <w:p w14:paraId="6C0AAD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1. Introducción:</w:t>
      </w:r>
      <w:r w:rsidRPr="006A1D05">
        <w:rPr>
          <w:rFonts w:ascii="Times New Roman" w:hAnsi="Times New Roman"/>
          <w:sz w:val="24"/>
          <w:szCs w:val="24"/>
          <w:lang w:eastAsia="ar-SA"/>
        </w:rPr>
        <w:tab/>
      </w:r>
    </w:p>
    <w:p w14:paraId="70A37AA8"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Breve descripción de las actividades principales de la entidad.</w:t>
      </w:r>
    </w:p>
    <w:p w14:paraId="32374C69"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4AA5660F" w14:textId="77777777" w:rsidR="006A1D05" w:rsidRPr="00136AAE" w:rsidRDefault="006A1D05" w:rsidP="006A1D05">
      <w:pPr>
        <w:widowControl w:val="0"/>
        <w:suppressAutoHyphens/>
        <w:autoSpaceDE w:val="0"/>
        <w:autoSpaceDN w:val="0"/>
        <w:adjustRightInd w:val="0"/>
        <w:snapToGrid w:val="0"/>
        <w:spacing w:after="0" w:line="240" w:lineRule="auto"/>
        <w:jc w:val="both"/>
        <w:rPr>
          <w:rFonts w:ascii="Times New Roman" w:hAnsi="Times New Roman"/>
          <w:b/>
          <w:color w:val="000000"/>
          <w:sz w:val="24"/>
          <w:szCs w:val="24"/>
          <w:lang w:eastAsia="ar-SA"/>
        </w:rPr>
      </w:pPr>
      <w:r w:rsidRPr="00136AAE">
        <w:rPr>
          <w:rFonts w:ascii="Times New Roman" w:hAnsi="Times New Roman"/>
          <w:b/>
          <w:color w:val="000000"/>
          <w:sz w:val="24"/>
          <w:szCs w:val="24"/>
          <w:lang w:eastAsia="ar-SA"/>
        </w:rPr>
        <w:t xml:space="preserve">Según el artículo 6 del reglamento, el Instituto tiene por objeto: </w:t>
      </w:r>
    </w:p>
    <w:p w14:paraId="46491DF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7E10A39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 Auxiliar al Ayuntamiento y al COPLADEM, en el cumplimiento de las funciones que les confiere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la Ley Orgánica Municipal para el Estado de Guanajuato, el Reglamento de Planeación para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 xml:space="preserve">el Desarrollo Integral del Municipio de Guanajuato, Gto., y el Reglamento del Comité de Planeación </w:t>
      </w:r>
      <w:r w:rsidRPr="006A1D05">
        <w:rPr>
          <w:rFonts w:ascii="Times New Roman" w:hAnsi="Times New Roman"/>
          <w:color w:val="000000"/>
          <w:sz w:val="24"/>
          <w:szCs w:val="24"/>
          <w:lang w:eastAsia="ar-SA"/>
        </w:rPr>
        <w:lastRenderedPageBreak/>
        <w:t>para el Desarrollo del Municipio de Guanajuato, Gto., respectivamente, en materia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 planeación, emitiendo opiniones y recomendaciones al propio Ayuntamiento, para que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éste los discuta y apruebe en su caso;</w:t>
      </w:r>
    </w:p>
    <w:p w14:paraId="5F60BD88"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1D53F6F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 Asesorar al Ayuntamiento y coadyuvar con él, en la planeación armónica, integral y sustentable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del municipio, con visión multidisciplinaria y de desarrollo a mediano y largo plazo;</w:t>
      </w:r>
    </w:p>
    <w:p w14:paraId="3936B63A"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02F9AE0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III. Promover la planeación participativa, coordinando con el COPLADEM la consulta a la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ciudadanía, dependencias y entidades paramunicipales, con la finalidad de elaborar, actualizar</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o modificar el sistema municipal de planeación;</w:t>
      </w:r>
    </w:p>
    <w:p w14:paraId="3F953B8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5B19516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IV. Asesorar técnicamente al Ayuntamiento, a las dependencias del gobierno municipal y a las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entidades paramunicipales, en la instrumentación y aplicación de normas que se deriven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w:t>
      </w:r>
    </w:p>
    <w:p w14:paraId="7553F4F0"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0E8A14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 Fortalecer y dar continuidad a los proyectos de planeación y facilitar la gestión entre los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diferentes sectores involucrados en la planeación del desarrollo del municipio;</w:t>
      </w:r>
    </w:p>
    <w:p w14:paraId="678132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28BCF7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 Implementar líneas de acción que tiendan a lograr el desarrollo equilibrado del municipio y 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mejoramiento de las condiciones de vida de la población;</w:t>
      </w:r>
    </w:p>
    <w:p w14:paraId="28A3F85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57B7DE5"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 Elaborar proyectos técnicos viables para ser aplicados por la administración municipal, en</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beneficio de los habitantes del municipio;</w:t>
      </w:r>
    </w:p>
    <w:p w14:paraId="5D9994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7F3470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VIII. Diseñar la metodología para la elaboración de planes, programas y demás instrumentos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 así como de los proyectos de investigación y sistemas de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información, que den sustento a los mismos; y,</w:t>
      </w:r>
    </w:p>
    <w:p w14:paraId="7AF8A5D7"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2FFF2231"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IX. Difundir previa autorización del Ayuntamiento, el sistema municipal de planeación, los proyectos de investigación y los sistemas de información.</w:t>
      </w:r>
    </w:p>
    <w:p w14:paraId="69CF79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539FEE2" w14:textId="0E7B3429"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2. Describir el panorama Económico y Financiero:</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AA5F249" w14:textId="1265392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7B4CC6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575BDFF" w14:textId="77777777" w:rsidR="00DB2B0C" w:rsidRDefault="00DB2B0C" w:rsidP="006A1D05">
      <w:pPr>
        <w:suppressAutoHyphens/>
        <w:spacing w:after="0" w:line="240" w:lineRule="auto"/>
        <w:jc w:val="both"/>
        <w:rPr>
          <w:rFonts w:ascii="Times New Roman" w:hAnsi="Times New Roman"/>
          <w:b/>
          <w:sz w:val="24"/>
          <w:szCs w:val="24"/>
          <w:lang w:eastAsia="ar-SA"/>
        </w:rPr>
      </w:pPr>
    </w:p>
    <w:p w14:paraId="04DD5B05" w14:textId="20E03C4B"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3. Autorización e Historia:</w:t>
      </w:r>
    </w:p>
    <w:p w14:paraId="3AF991C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135B4E2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D1D8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7D5D390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FFB2B67" w14:textId="1F53CFA7" w:rsidR="00136AAE"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56B2C23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2D1D1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Principales cambios en su estructura (interna históricamente).</w:t>
      </w:r>
    </w:p>
    <w:p w14:paraId="6659894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F4D8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3310D0A6"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2721420E"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41EFCD15"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279B68BC" w14:textId="22D3DC0C"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sidR="00136AAE">
        <w:rPr>
          <w:rFonts w:ascii="Times New Roman" w:hAnsi="Times New Roman"/>
          <w:sz w:val="24"/>
          <w:szCs w:val="24"/>
          <w:lang w:eastAsia="ar-SA"/>
        </w:rPr>
        <w:t>.</w:t>
      </w:r>
    </w:p>
    <w:p w14:paraId="693EA1D8" w14:textId="0F4C1F0E"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7A9BDE0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C94554" w14:textId="7650030C"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4.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D609794" w14:textId="77777777" w:rsidR="00136AAE" w:rsidRDefault="00136AAE"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 xml:space="preserve">Respeto al medio ambiente La intervención que mediante la planeación se haga de la ciudad y el territorio deberá tener como premisa el cuidado, la conservación, preservación y mejora de 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Pr="00DB2B0C"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50ABD24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r w:rsidRPr="00136AAE">
        <w:rPr>
          <w:rFonts w:ascii="Times New Roman" w:hAnsi="Times New Roman"/>
          <w:b/>
          <w:sz w:val="24"/>
          <w:szCs w:val="24"/>
          <w:lang w:eastAsia="ar-SA"/>
        </w:rPr>
        <w:t xml:space="preserve"> de </w:t>
      </w:r>
      <w:r w:rsidR="00177716">
        <w:rPr>
          <w:rFonts w:ascii="Times New Roman" w:hAnsi="Times New Roman"/>
          <w:b/>
          <w:sz w:val="24"/>
          <w:szCs w:val="24"/>
          <w:lang w:eastAsia="ar-SA"/>
        </w:rPr>
        <w:t>2023</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215A35E8">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xmlns:w16du="http://schemas.microsoft.com/office/word/2023/wordml/word16du">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5.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Pr="00136AAE"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w:t>
      </w:r>
      <w:r w:rsidRPr="006A1D05">
        <w:rPr>
          <w:rFonts w:ascii="Times New Roman" w:hAnsi="Times New Roman"/>
          <w:sz w:val="24"/>
          <w:szCs w:val="24"/>
          <w:lang w:eastAsia="ar-SA"/>
        </w:rPr>
        <w:lastRenderedPageBreak/>
        <w:t>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6.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7.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DCDF5A5" w14:textId="6155B1DA"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No se tienen pasivos en moneda extranjera</w:t>
      </w:r>
    </w:p>
    <w:p w14:paraId="364B321B"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0155E4D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8.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0C3B1B4F"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6C77DFF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9. Fideicomisos, Mandatos y Análogos:</w:t>
      </w:r>
    </w:p>
    <w:p w14:paraId="2C23F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14AFC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10.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11.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12.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13.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14.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15.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16.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17.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071F936A"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16701E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7C1D8A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2A28784"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DF331F">
      <w:headerReference w:type="even" r:id="rId20"/>
      <w:headerReference w:type="default" r:id="rId21"/>
      <w:footerReference w:type="even" r:id="rId22"/>
      <w:footerReference w:type="default" r:id="rId23"/>
      <w:headerReference w:type="first" r:id="rId24"/>
      <w:footerReference w:type="first" r:id="rId2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E1B9" w14:textId="77777777" w:rsidR="00DF331F" w:rsidRDefault="00DF331F" w:rsidP="00E00323">
      <w:pPr>
        <w:spacing w:after="0" w:line="240" w:lineRule="auto"/>
      </w:pPr>
      <w:r>
        <w:separator/>
      </w:r>
    </w:p>
  </w:endnote>
  <w:endnote w:type="continuationSeparator" w:id="0">
    <w:p w14:paraId="0CA6C2BA" w14:textId="77777777" w:rsidR="00DF331F" w:rsidRDefault="00DF331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AC0F" w14:textId="77777777" w:rsidR="004178F6" w:rsidRDefault="004178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327" w14:textId="77777777" w:rsidR="004178F6" w:rsidRDefault="004178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457E" w14:textId="77777777" w:rsidR="00DF331F" w:rsidRDefault="00DF331F" w:rsidP="00E00323">
      <w:pPr>
        <w:spacing w:after="0" w:line="240" w:lineRule="auto"/>
      </w:pPr>
      <w:r>
        <w:separator/>
      </w:r>
    </w:p>
  </w:footnote>
  <w:footnote w:type="continuationSeparator" w:id="0">
    <w:p w14:paraId="0338BE78" w14:textId="77777777" w:rsidR="00DF331F" w:rsidRDefault="00DF331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A9C5" w14:textId="77777777" w:rsidR="004178F6" w:rsidRDefault="004178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651A4C4F" w14:textId="170B2369" w:rsidR="00A4610E" w:rsidRDefault="00A4610E" w:rsidP="001072C0">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4178F6">
      <w:t>31 DE DICIEMBRE DEL 2023</w:t>
    </w:r>
  </w:p>
  <w:p w14:paraId="2696CC6E" w14:textId="022D5482" w:rsidR="00A6584A" w:rsidRDefault="00A6584A" w:rsidP="00A4610E">
    <w:pPr>
      <w:pStyle w:val="Encabezado"/>
      <w:spacing w:after="0" w:line="240" w:lineRule="auto"/>
      <w:jc w:val="center"/>
    </w:pP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99C3" w14:textId="77777777" w:rsidR="004178F6" w:rsidRDefault="00417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6"/>
  </w:num>
  <w:num w:numId="2" w16cid:durableId="1792240352">
    <w:abstractNumId w:val="5"/>
  </w:num>
  <w:num w:numId="3" w16cid:durableId="671760927">
    <w:abstractNumId w:val="0"/>
  </w:num>
  <w:num w:numId="4" w16cid:durableId="633871675">
    <w:abstractNumId w:val="4"/>
  </w:num>
  <w:num w:numId="5" w16cid:durableId="859584948">
    <w:abstractNumId w:val="3"/>
  </w:num>
  <w:num w:numId="6" w16cid:durableId="605893426">
    <w:abstractNumId w:val="2"/>
  </w:num>
  <w:num w:numId="7" w16cid:durableId="1170756136">
    <w:abstractNumId w:val="1"/>
  </w:num>
  <w:num w:numId="8" w16cid:durableId="344135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117D"/>
    <w:rsid w:val="000B7810"/>
    <w:rsid w:val="000C3365"/>
    <w:rsid w:val="000F7207"/>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313E97"/>
    <w:rsid w:val="00327E72"/>
    <w:rsid w:val="003453CA"/>
    <w:rsid w:val="00361129"/>
    <w:rsid w:val="004178F6"/>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57C6"/>
    <w:rsid w:val="0092765C"/>
    <w:rsid w:val="009A653D"/>
    <w:rsid w:val="009F1DA3"/>
    <w:rsid w:val="00A4382B"/>
    <w:rsid w:val="00A45417"/>
    <w:rsid w:val="00A4610E"/>
    <w:rsid w:val="00A6584A"/>
    <w:rsid w:val="00A730E0"/>
    <w:rsid w:val="00A90C5F"/>
    <w:rsid w:val="00AA41E5"/>
    <w:rsid w:val="00AB722B"/>
    <w:rsid w:val="00AE1F6A"/>
    <w:rsid w:val="00AF05F5"/>
    <w:rsid w:val="00B26700"/>
    <w:rsid w:val="00B37A32"/>
    <w:rsid w:val="00B4336A"/>
    <w:rsid w:val="00B53D5C"/>
    <w:rsid w:val="00B93716"/>
    <w:rsid w:val="00B9490E"/>
    <w:rsid w:val="00B96413"/>
    <w:rsid w:val="00BB07C1"/>
    <w:rsid w:val="00C372EC"/>
    <w:rsid w:val="00C97E1E"/>
    <w:rsid w:val="00CB41C4"/>
    <w:rsid w:val="00CC0480"/>
    <w:rsid w:val="00CF1316"/>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73C0"/>
    <w:rsid w:val="00F46719"/>
    <w:rsid w:val="00F46B07"/>
    <w:rsid w:val="00F54F6F"/>
    <w:rsid w:val="00F564E3"/>
    <w:rsid w:val="00F7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4129</Words>
  <Characters>22711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23</cp:revision>
  <cp:lastPrinted>2023-10-27T18:56:00Z</cp:lastPrinted>
  <dcterms:created xsi:type="dcterms:W3CDTF">2022-01-18T23:30:00Z</dcterms:created>
  <dcterms:modified xsi:type="dcterms:W3CDTF">2024-01-27T18:55:00Z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